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Default Extension="jpeg" ContentType="image/jpeg"/>
  <Default Extension="png" ContentType="image/png"/>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xmlns:wps="http://schemas.microsoft.com/office/word/2010/wordprocessingShape">
  <w:body>
    <w:bookmarkStart w:id="0" w:name="page1"/>
    <w:bookmarkEnd w:id="0"/>
    <w:p>
      <w:pPr>
        <w:spacing w:after="0" w:line="200" w:lineRule="exact"/>
        <w:rPr>
          <w:sz w:val="24"/>
          <w:szCs w:val="24"/>
          <w:color w:val="auto"/>
        </w:rPr>
      </w:pPr>
      <w:r>
        <w:rPr>
          <w:sz w:val="24"/>
          <w:szCs w:val="24"/>
          <w:color w:val="auto"/>
        </w:rPr>
        <w:drawing>
          <wp:anchor simplePos="0" relativeHeight="251657728" behindDoc="1" locked="0" layoutInCell="0" allowOverlap="1">
            <wp:simplePos x="0" y="0"/>
            <wp:positionH relativeFrom="page">
              <wp:posOffset>2715895</wp:posOffset>
            </wp:positionH>
            <wp:positionV relativeFrom="page">
              <wp:posOffset>457200</wp:posOffset>
            </wp:positionV>
            <wp:extent cx="2338070" cy="7404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clrChange>
                        <a:clrFrom>
                          <a:srgbClr val="FFFFFF"/>
                        </a:clrFrom>
                        <a:clrTo>
                          <a:srgbClr val="FFFFFF">
                            <a:alpha val="0"/>
                          </a:srgbClr>
                        </a:clrTo>
                      </a:clrChange>
                      <a:extLst>
                        <a:ext uri="{28A0092B-C50C-407E-A947-70E740481C1C}"/>
                      </a:extLst>
                    </a:blip>
                    <a:srcRect/>
                    <a:stretch>
                      <a:fillRect/>
                    </a:stretch>
                  </pic:blipFill>
                  <pic:spPr bwMode="auto">
                    <a:xfrm>
                      <a:off x="0" y="0"/>
                      <a:ext cx="2338070" cy="740410"/>
                    </a:xfrm>
                    <a:prstGeom prst="rect">
                      <a:avLst/>
                    </a:prstGeom>
                    <a:noFill/>
                  </pic:spPr>
                </pic:pic>
              </a:graphicData>
            </a:graphic>
          </wp:anchor>
        </w:drawing>
      </w: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397" w:lineRule="exact"/>
        <w:rPr>
          <w:sz w:val="24"/>
          <w:szCs w:val="24"/>
          <w:color w:val="auto"/>
        </w:rPr>
      </w:pPr>
    </w:p>
    <w:p>
      <w:pPr>
        <w:ind w:left="360"/>
        <w:spacing w:after="0"/>
        <w:rPr>
          <w:sz w:val="20"/>
          <w:szCs w:val="20"/>
          <w:color w:val="auto"/>
        </w:rPr>
      </w:pPr>
      <w:r>
        <w:rPr>
          <w:rFonts w:ascii="Times New Roman" w:cs="Times New Roman" w:eastAsia="Times New Roman" w:hAnsi="Times New Roman"/>
          <w:sz w:val="32"/>
          <w:szCs w:val="32"/>
          <w:b w:val="1"/>
          <w:bCs w:val="1"/>
          <w:color w:val="auto"/>
        </w:rPr>
        <w:t>GT600 Fire Door Package Systems</w:t>
      </w:r>
    </w:p>
    <w:p>
      <w:pPr>
        <w:spacing w:after="0" w:line="375" w:lineRule="exact"/>
        <w:rPr>
          <w:sz w:val="24"/>
          <w:szCs w:val="24"/>
          <w:color w:val="auto"/>
        </w:rPr>
      </w:pPr>
    </w:p>
    <w:p>
      <w:pPr>
        <w:ind w:left="360" w:right="400"/>
        <w:spacing w:after="0" w:line="255" w:lineRule="auto"/>
        <w:rPr>
          <w:sz w:val="20"/>
          <w:szCs w:val="20"/>
          <w:color w:val="auto"/>
        </w:rPr>
      </w:pPr>
      <w:r>
        <w:rPr>
          <w:rFonts w:ascii="Times New Roman" w:cs="Times New Roman" w:eastAsia="Times New Roman" w:hAnsi="Times New Roman"/>
          <w:sz w:val="24"/>
          <w:szCs w:val="24"/>
          <w:color w:val="auto"/>
        </w:rPr>
        <w:t>For comprehensive information on door and frame installation, proper smoke detector, etc., the following books are available from the National Fire Protection Association, 470 Atlantic Avenue, Boston, MA 02210</w:t>
      </w:r>
    </w:p>
    <w:p>
      <w:pPr>
        <w:spacing w:after="0" w:line="224" w:lineRule="exact"/>
        <w:rPr>
          <w:sz w:val="24"/>
          <w:szCs w:val="24"/>
          <w:color w:val="auto"/>
        </w:rPr>
      </w:pPr>
    </w:p>
    <w:p>
      <w:pPr>
        <w:ind w:left="1620"/>
        <w:spacing w:after="0"/>
        <w:rPr>
          <w:sz w:val="20"/>
          <w:szCs w:val="20"/>
          <w:color w:val="auto"/>
        </w:rPr>
      </w:pPr>
      <w:r>
        <w:rPr>
          <w:rFonts w:ascii="Times New Roman" w:cs="Times New Roman" w:eastAsia="Times New Roman" w:hAnsi="Times New Roman"/>
          <w:sz w:val="24"/>
          <w:szCs w:val="24"/>
          <w:color w:val="auto"/>
        </w:rPr>
        <w:t>Life Safety Code (NFPA No. 101)</w:t>
      </w:r>
    </w:p>
    <w:p>
      <w:pPr>
        <w:spacing w:after="0" w:line="36" w:lineRule="exact"/>
        <w:rPr>
          <w:sz w:val="24"/>
          <w:szCs w:val="24"/>
          <w:color w:val="auto"/>
        </w:rPr>
      </w:pPr>
    </w:p>
    <w:p>
      <w:pPr>
        <w:ind w:left="1620"/>
        <w:spacing w:after="0"/>
        <w:rPr>
          <w:sz w:val="20"/>
          <w:szCs w:val="20"/>
          <w:color w:val="auto"/>
        </w:rPr>
      </w:pPr>
      <w:r>
        <w:rPr>
          <w:rFonts w:ascii="Times New Roman" w:cs="Times New Roman" w:eastAsia="Times New Roman" w:hAnsi="Times New Roman"/>
          <w:sz w:val="24"/>
          <w:szCs w:val="24"/>
          <w:color w:val="auto"/>
        </w:rPr>
        <w:t>Fire Doors and Windows (NFPA No. 80)</w:t>
      </w:r>
    </w:p>
    <w:p>
      <w:pPr>
        <w:spacing w:after="0" w:line="243" w:lineRule="exact"/>
        <w:rPr>
          <w:sz w:val="24"/>
          <w:szCs w:val="24"/>
          <w:color w:val="auto"/>
        </w:rPr>
      </w:pPr>
    </w:p>
    <w:p>
      <w:pPr>
        <w:ind w:left="360" w:right="520"/>
        <w:spacing w:after="0" w:line="245" w:lineRule="auto"/>
        <w:rPr>
          <w:sz w:val="20"/>
          <w:szCs w:val="20"/>
          <w:color w:val="auto"/>
        </w:rPr>
      </w:pPr>
      <w:r>
        <w:rPr>
          <w:rFonts w:ascii="Times New Roman" w:cs="Times New Roman" w:eastAsia="Times New Roman" w:hAnsi="Times New Roman"/>
          <w:sz w:val="24"/>
          <w:szCs w:val="24"/>
          <w:color w:val="auto"/>
        </w:rPr>
        <w:t>NABCO Entrances, Inc. offers multiple options with regards to having an automatic fire door package. With a fire door assembly, the entire doorway must consist of UL listed equipment. In the event of fire or power failure the doors must close from any position, latch and be able to function as a standard manual emergency exit. The standard fire door package normally includes:</w:t>
      </w:r>
    </w:p>
    <w:p>
      <w:pPr>
        <w:spacing w:after="0" w:line="5" w:lineRule="exact"/>
        <w:rPr>
          <w:sz w:val="24"/>
          <w:szCs w:val="24"/>
          <w:color w:val="auto"/>
        </w:rPr>
      </w:pPr>
    </w:p>
    <w:p>
      <w:pPr>
        <w:ind w:left="1980" w:right="880" w:hanging="360"/>
        <w:spacing w:after="0"/>
        <w:tabs>
          <w:tab w:leader="none" w:pos="1980" w:val="left"/>
        </w:tabs>
        <w:numPr>
          <w:ilvl w:val="0"/>
          <w:numId w:val="1"/>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UL listed door leaf and frame packages. Options exist from several manufacturers.</w:t>
      </w:r>
    </w:p>
    <w:p>
      <w:pPr>
        <w:ind w:left="1980" w:right="400" w:hanging="360"/>
        <w:spacing w:after="0"/>
        <w:tabs>
          <w:tab w:leader="none" w:pos="1980" w:val="left"/>
        </w:tabs>
        <w:numPr>
          <w:ilvl w:val="0"/>
          <w:numId w:val="1"/>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UL listed fire exit hardware. Packages approved by UL including the push bars, latch mechanisms, locks and power boxes which are routinely available from manufacturers such as von Duprin, Dorman, Adams Rite and others.</w:t>
      </w:r>
    </w:p>
    <w:p>
      <w:pPr>
        <w:ind w:left="1980" w:right="1160" w:hanging="360"/>
        <w:spacing w:after="0" w:line="239" w:lineRule="auto"/>
        <w:tabs>
          <w:tab w:leader="none" w:pos="1980" w:val="left"/>
        </w:tabs>
        <w:numPr>
          <w:ilvl w:val="0"/>
          <w:numId w:val="1"/>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Standard NABCO Entrances, Inc. activating devices such as the Acusensor, Acumotion, push plates, or other suitable compatible devices.</w:t>
      </w:r>
    </w:p>
    <w:p>
      <w:pPr>
        <w:spacing w:after="0" w:line="3" w:lineRule="exact"/>
        <w:rPr>
          <w:rFonts w:ascii="Times New Roman" w:cs="Times New Roman" w:eastAsia="Times New Roman" w:hAnsi="Times New Roman"/>
          <w:sz w:val="24"/>
          <w:szCs w:val="24"/>
          <w:color w:val="auto"/>
        </w:rPr>
      </w:pPr>
    </w:p>
    <w:p>
      <w:pPr>
        <w:ind w:left="1980" w:right="880" w:hanging="360"/>
        <w:spacing w:after="0"/>
        <w:tabs>
          <w:tab w:leader="none" w:pos="1980" w:val="left"/>
        </w:tabs>
        <w:numPr>
          <w:ilvl w:val="0"/>
          <w:numId w:val="1"/>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Automatic door operator package conversion unit (CU) header with supporting documentation.</w:t>
      </w:r>
    </w:p>
    <w:p>
      <w:pPr>
        <w:ind w:left="1980" w:hanging="360"/>
        <w:spacing w:after="0"/>
        <w:tabs>
          <w:tab w:leader="none" w:pos="1980" w:val="left"/>
        </w:tabs>
        <w:numPr>
          <w:ilvl w:val="0"/>
          <w:numId w:val="1"/>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UL specified labels.</w:t>
      </w:r>
    </w:p>
    <w:p>
      <w:pPr>
        <w:spacing w:after="0" w:line="243" w:lineRule="exact"/>
        <w:rPr>
          <w:sz w:val="24"/>
          <w:szCs w:val="24"/>
          <w:color w:val="auto"/>
        </w:rPr>
      </w:pPr>
    </w:p>
    <w:p>
      <w:pPr>
        <w:ind w:left="360" w:right="1160"/>
        <w:spacing w:after="0" w:line="269" w:lineRule="auto"/>
        <w:rPr>
          <w:sz w:val="20"/>
          <w:szCs w:val="20"/>
          <w:color w:val="auto"/>
        </w:rPr>
      </w:pPr>
      <w:r>
        <w:rPr>
          <w:rFonts w:ascii="Times New Roman" w:cs="Times New Roman" w:eastAsia="Times New Roman" w:hAnsi="Times New Roman"/>
          <w:sz w:val="24"/>
          <w:szCs w:val="24"/>
          <w:color w:val="auto"/>
        </w:rPr>
        <w:t>For standard installation elevations, sections and other typical information see the drawings for the system GT400 or GT710.</w:t>
      </w: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15" w:lineRule="exact"/>
        <w:rPr>
          <w:sz w:val="24"/>
          <w:szCs w:val="24"/>
          <w:color w:val="auto"/>
        </w:rPr>
      </w:pPr>
    </w:p>
    <w:p>
      <w:pPr>
        <w:jc w:val="center"/>
        <w:spacing w:after="0"/>
        <w:rPr>
          <w:sz w:val="20"/>
          <w:szCs w:val="20"/>
          <w:color w:val="auto"/>
        </w:rPr>
      </w:pPr>
      <w:r>
        <w:rPr>
          <w:rFonts w:ascii="Times New Roman" w:cs="Times New Roman" w:eastAsia="Times New Roman" w:hAnsi="Times New Roman"/>
          <w:sz w:val="24"/>
          <w:szCs w:val="24"/>
          <w:color w:val="auto"/>
        </w:rPr>
        <w:t>9/17/09</w:t>
      </w:r>
    </w:p>
    <w:p>
      <w:pPr>
        <w:spacing w:after="0" w:line="200" w:lineRule="exact"/>
        <w:rPr>
          <w:sz w:val="24"/>
          <w:szCs w:val="24"/>
          <w:color w:val="auto"/>
        </w:rPr>
      </w:pPr>
    </w:p>
    <w:p>
      <w:pPr>
        <w:spacing w:after="0" w:line="307" w:lineRule="exact"/>
        <w:rPr>
          <w:sz w:val="24"/>
          <w:szCs w:val="24"/>
          <w:color w:val="auto"/>
        </w:rPr>
      </w:pPr>
    </w:p>
    <w:p>
      <w:pPr>
        <w:ind w:left="660" w:right="660" w:firstLine="91"/>
        <w:spacing w:after="0" w:line="299" w:lineRule="auto"/>
        <w:rPr>
          <w:sz w:val="20"/>
          <w:szCs w:val="20"/>
          <w:color w:val="auto"/>
        </w:rPr>
      </w:pPr>
      <w:r>
        <w:rPr>
          <w:rFonts w:ascii="Arial" w:cs="Arial" w:eastAsia="Arial" w:hAnsi="Arial"/>
          <w:sz w:val="17"/>
          <w:szCs w:val="17"/>
          <w:color w:val="333399"/>
        </w:rPr>
        <w:t xml:space="preserve">N A B C O E N T R A N C E S I N C . </w:t>
      </w:r>
      <w:r>
        <w:rPr>
          <w:sz w:val="1"/>
          <w:szCs w:val="1"/>
          <w:color w:val="auto"/>
        </w:rPr>
        <w:drawing>
          <wp:inline distT="0" distB="0" distL="0" distR="0">
            <wp:extent cx="67310" cy="6731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extLst>
                    </a:blip>
                    <a:srcRect/>
                    <a:stretch>
                      <a:fillRect/>
                    </a:stretch>
                  </pic:blipFill>
                  <pic:spPr bwMode="auto">
                    <a:xfrm>
                      <a:off x="0" y="0"/>
                      <a:ext cx="67310" cy="67310"/>
                    </a:xfrm>
                    <a:prstGeom prst="rect">
                      <a:avLst/>
                    </a:prstGeom>
                    <a:noFill/>
                    <a:ln>
                      <a:noFill/>
                    </a:ln>
                  </pic:spPr>
                </pic:pic>
              </a:graphicData>
            </a:graphic>
          </wp:inline>
        </w:drawing>
      </w:r>
      <w:r>
        <w:rPr>
          <w:rFonts w:ascii="Arial" w:cs="Arial" w:eastAsia="Arial" w:hAnsi="Arial"/>
          <w:sz w:val="17"/>
          <w:szCs w:val="17"/>
          <w:color w:val="333399"/>
        </w:rPr>
        <w:t xml:space="preserve"> S 8 2 W 1 8 7 1 7 G e m i n i D r i v e </w:t>
      </w:r>
      <w:r>
        <w:rPr>
          <w:sz w:val="1"/>
          <w:szCs w:val="1"/>
          <w:color w:val="auto"/>
        </w:rPr>
        <w:drawing>
          <wp:inline distT="0" distB="0" distL="0" distR="0">
            <wp:extent cx="67310" cy="6731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extLst>
                    </a:blip>
                    <a:srcRect/>
                    <a:stretch>
                      <a:fillRect/>
                    </a:stretch>
                  </pic:blipFill>
                  <pic:spPr bwMode="auto">
                    <a:xfrm>
                      <a:off x="0" y="0"/>
                      <a:ext cx="67310" cy="67310"/>
                    </a:xfrm>
                    <a:prstGeom prst="rect">
                      <a:avLst/>
                    </a:prstGeom>
                    <a:noFill/>
                    <a:ln>
                      <a:noFill/>
                    </a:ln>
                  </pic:spPr>
                </pic:pic>
              </a:graphicData>
            </a:graphic>
          </wp:inline>
        </w:drawing>
      </w:r>
      <w:r>
        <w:rPr>
          <w:rFonts w:ascii="Arial" w:cs="Arial" w:eastAsia="Arial" w:hAnsi="Arial"/>
          <w:sz w:val="17"/>
          <w:szCs w:val="17"/>
          <w:color w:val="333399"/>
        </w:rPr>
        <w:t xml:space="preserve"> M u s k e g o , W I 5 3 1 5 0 Phone: 877-622-2694 </w:t>
      </w:r>
      <w:r>
        <w:rPr>
          <w:sz w:val="1"/>
          <w:szCs w:val="1"/>
          <w:color w:val="auto"/>
        </w:rPr>
        <w:drawing>
          <wp:inline distT="0" distB="0" distL="0" distR="0">
            <wp:extent cx="67310" cy="6731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extLst>
                    </a:blip>
                    <a:srcRect/>
                    <a:stretch>
                      <a:fillRect/>
                    </a:stretch>
                  </pic:blipFill>
                  <pic:spPr bwMode="auto">
                    <a:xfrm>
                      <a:off x="0" y="0"/>
                      <a:ext cx="67310" cy="67310"/>
                    </a:xfrm>
                    <a:prstGeom prst="rect">
                      <a:avLst/>
                    </a:prstGeom>
                    <a:noFill/>
                    <a:ln>
                      <a:noFill/>
                    </a:ln>
                  </pic:spPr>
                </pic:pic>
              </a:graphicData>
            </a:graphic>
          </wp:inline>
        </w:drawing>
      </w:r>
      <w:r>
        <w:rPr>
          <w:rFonts w:ascii="Arial" w:cs="Arial" w:eastAsia="Arial" w:hAnsi="Arial"/>
          <w:sz w:val="17"/>
          <w:szCs w:val="17"/>
          <w:color w:val="333399"/>
        </w:rPr>
        <w:t xml:space="preserve"> Fax: 888-679-3319 </w:t>
      </w:r>
      <w:r>
        <w:rPr>
          <w:sz w:val="1"/>
          <w:szCs w:val="1"/>
          <w:color w:val="auto"/>
        </w:rPr>
        <w:drawing>
          <wp:inline distT="0" distB="0" distL="0" distR="0">
            <wp:extent cx="67310" cy="6731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extLst>
                    </a:blip>
                    <a:srcRect/>
                    <a:stretch>
                      <a:fillRect/>
                    </a:stretch>
                  </pic:blipFill>
                  <pic:spPr bwMode="auto">
                    <a:xfrm>
                      <a:off x="0" y="0"/>
                      <a:ext cx="67310" cy="67310"/>
                    </a:xfrm>
                    <a:prstGeom prst="rect">
                      <a:avLst/>
                    </a:prstGeom>
                    <a:noFill/>
                    <a:ln>
                      <a:noFill/>
                    </a:ln>
                  </pic:spPr>
                </pic:pic>
              </a:graphicData>
            </a:graphic>
          </wp:inline>
        </w:drawing>
      </w:r>
      <w:r>
        <w:rPr>
          <w:rFonts w:ascii="Arial" w:cs="Arial" w:eastAsia="Arial" w:hAnsi="Arial"/>
          <w:sz w:val="17"/>
          <w:szCs w:val="17"/>
          <w:color w:val="333399"/>
        </w:rPr>
        <w:t xml:space="preserve"> Web: www.nabcoentrances.com / www.gyrotech.com</w:t>
      </w:r>
    </w:p>
    <w:sectPr>
      <w:pgSz w:w="12240" w:h="15840" w:orient="portrait"/>
      <w:cols w:equalWidth="0" w:num="1">
        <w:col w:w="9360"/>
      </w:cols>
      <w:pgMar w:left="1440" w:top="1440" w:right="1440" w:bottom="90" w:gutter="0" w:footer="0" w:header="0"/>
    </w:sectPr>
  </w:body>
</w:document>
</file>

<file path=word/fontTable.xml><?xml version="1.0" encoding="utf-8"?>
<w:font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400001FF" w:csb1="FFFF0000"/>
  </w:font>
</w:fonts>
</file>

<file path=word/numbering.xml><?xml version="1.0" encoding="utf-8"?>
<w:numbering xmlns:w="http://schemas.openxmlformats.org/wordprocessingml/2006/main">
  <w:abstractNum w:abstractNumId="0">
    <w:nsid w:val="327B23C6"/>
    <w:multiLevelType w:val="hybridMultilevel"/>
    <w:lvl w:ilvl="0">
      <w:lvlJc w:val="left"/>
      <w:lvlText w:val="%1."/>
      <w:numFmt w:val="upperLetter"/>
      <w:start w:val="1"/>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w="http://schemas.openxmlformats.org/wordprocessingml/2006/main">
  <w:docDefaults>
    <w:rPrDefault>
      <w:rPr>
        <w:rFonts w:eastAsiaTheme="minorEastAsia"/>
        <w:sz w:val="22"/>
        <w:szCs w:val="22"/>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Layout w:type="fixed"/>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webSettings" Target="webSettings.xml"/><Relationship Id="rId11" Type="http://schemas.openxmlformats.org/officeDocument/2006/relationships/numbering" Target="numbering.xml"/><Relationship Id="rId12" Type="http://schemas.openxmlformats.org/officeDocument/2006/relationships/image" Target="media/image1.jpeg"/><Relationship Id="rId13" Type="http://schemas.openxmlformats.org/officeDocument/2006/relationships/image" Target="media/image2.png"/><Relationship Id="rId14" Type="http://schemas.openxmlformats.org/officeDocument/2006/relationships/image" Target="media/image3.jpeg"/><Relationship Id="rId15" Type="http://schemas.openxmlformats.org/officeDocument/2006/relationships/image" Target="media/image4.jpeg"/><Relationship Id="rId16" Type="http://schemas.openxmlformats.org/officeDocument/2006/relationships/image" Target="media/image5.jpeg"/></Relationships>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2024-05-20T20:24:43Z</dcterms:created>
  <dcterms:modified xsi:type="dcterms:W3CDTF">2024-05-20T20:24:43Z</dcterms:modified>
</cp:coreProperties>
</file>